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6F" w:rsidRDefault="00BB786F" w:rsidP="00BB786F">
      <w:pPr>
        <w:spacing w:before="60" w:after="100" w:afterAutospacing="1" w:line="312" w:lineRule="atLeast"/>
        <w:outlineLvl w:val="2"/>
        <w:rPr>
          <w:rFonts w:ascii="Tahoma" w:eastAsia="Times New Roman" w:hAnsi="Tahoma" w:cs="Tahoma"/>
          <w:b/>
          <w:bCs/>
          <w:sz w:val="27"/>
          <w:szCs w:val="27"/>
        </w:rPr>
      </w:pPr>
      <w:r>
        <w:rPr>
          <w:rFonts w:ascii="Tahoma" w:eastAsia="Times New Roman" w:hAnsi="Tahoma" w:cs="Tahoma"/>
          <w:b/>
          <w:bCs/>
          <w:sz w:val="27"/>
          <w:szCs w:val="27"/>
        </w:rPr>
        <w:t>VOX—CEPR Policy Portal</w:t>
      </w:r>
    </w:p>
    <w:bookmarkStart w:id="0" w:name="_GoBack"/>
    <w:bookmarkEnd w:id="0"/>
    <w:p w:rsidR="00BB786F" w:rsidRPr="00BB786F" w:rsidRDefault="00BB786F" w:rsidP="00BB786F">
      <w:pPr>
        <w:numPr>
          <w:ilvl w:val="0"/>
          <w:numId w:val="1"/>
        </w:numPr>
        <w:spacing w:before="60" w:after="100" w:afterAutospacing="1" w:line="312" w:lineRule="atLeast"/>
        <w:ind w:left="240"/>
        <w:outlineLvl w:val="2"/>
        <w:rPr>
          <w:rFonts w:ascii="Tahoma" w:eastAsia="Times New Roman" w:hAnsi="Tahoma" w:cs="Tahoma"/>
          <w:b/>
          <w:bCs/>
          <w:sz w:val="27"/>
          <w:szCs w:val="27"/>
        </w:rPr>
      </w:pPr>
      <w:r w:rsidRPr="00BB786F">
        <w:rPr>
          <w:rFonts w:ascii="Tahoma" w:eastAsia="Times New Roman" w:hAnsi="Tahoma" w:cs="Tahoma"/>
          <w:b/>
          <w:bCs/>
          <w:sz w:val="27"/>
          <w:szCs w:val="27"/>
        </w:rPr>
        <w:fldChar w:fldCharType="begin"/>
      </w:r>
      <w:r w:rsidRPr="00BB786F">
        <w:rPr>
          <w:rFonts w:ascii="Tahoma" w:eastAsia="Times New Roman" w:hAnsi="Tahoma" w:cs="Tahoma"/>
          <w:b/>
          <w:bCs/>
          <w:sz w:val="27"/>
          <w:szCs w:val="27"/>
        </w:rPr>
        <w:instrText xml:space="preserve"> HYPERLINK "http://voxeu.org/article/israels-positive-immigration-story" </w:instrText>
      </w:r>
      <w:r w:rsidRPr="00BB786F">
        <w:rPr>
          <w:rFonts w:ascii="Tahoma" w:eastAsia="Times New Roman" w:hAnsi="Tahoma" w:cs="Tahoma"/>
          <w:b/>
          <w:bCs/>
          <w:sz w:val="27"/>
          <w:szCs w:val="27"/>
        </w:rPr>
        <w:fldChar w:fldCharType="separate"/>
      </w:r>
      <w:r w:rsidRPr="00BB786F">
        <w:rPr>
          <w:rFonts w:ascii="Tahoma" w:eastAsia="Times New Roman" w:hAnsi="Tahoma" w:cs="Tahoma"/>
          <w:b/>
          <w:bCs/>
          <w:color w:val="085A92"/>
          <w:sz w:val="27"/>
          <w:szCs w:val="27"/>
        </w:rPr>
        <w:t>Israel's positive immigration story</w:t>
      </w:r>
      <w:r w:rsidRPr="00BB786F">
        <w:rPr>
          <w:rFonts w:ascii="Tahoma" w:eastAsia="Times New Roman" w:hAnsi="Tahoma" w:cs="Tahoma"/>
          <w:b/>
          <w:bCs/>
          <w:sz w:val="27"/>
          <w:szCs w:val="27"/>
        </w:rPr>
        <w:fldChar w:fldCharType="end"/>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w:t>
      </w:r>
      <w:r w:rsidRPr="00BB786F">
        <w:rPr>
          <w:rFonts w:ascii="Arial" w:eastAsia="Times New Roman" w:hAnsi="Arial" w:cs="Arial"/>
          <w:sz w:val="20"/>
          <w:szCs w:val="20"/>
        </w:rPr>
        <w:t>, 1 April 2017</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 xml:space="preserve">Israel has received almost one million immigrants from the former Soviet Union, close to 19% of its established population. The extraordinary exodus of Soviet Jews to Israel in the 1990s is relevant to the current debate about </w:t>
      </w:r>
      <w:proofErr w:type="spellStart"/>
      <w:r w:rsidRPr="00BB786F">
        <w:rPr>
          <w:rFonts w:ascii="Arial" w:eastAsia="Times New Roman" w:hAnsi="Arial" w:cs="Arial"/>
          <w:sz w:val="20"/>
          <w:szCs w:val="20"/>
        </w:rPr>
        <w:t>globalisation</w:t>
      </w:r>
      <w:proofErr w:type="spellEnd"/>
      <w:r w:rsidRPr="00BB786F">
        <w:rPr>
          <w:rFonts w:ascii="Arial" w:eastAsia="Times New Roman" w:hAnsi="Arial" w:cs="Arial"/>
          <w:sz w:val="20"/>
          <w:szCs w:val="20"/>
        </w:rPr>
        <w:t>.</w:t>
      </w:r>
    </w:p>
    <w:p w:rsidR="00BB786F" w:rsidRPr="00BB786F" w:rsidRDefault="00BB786F" w:rsidP="00BB786F">
      <w:pPr>
        <w:numPr>
          <w:ilvl w:val="0"/>
          <w:numId w:val="2"/>
        </w:numPr>
        <w:spacing w:before="60" w:after="100" w:afterAutospacing="1" w:line="312" w:lineRule="atLeast"/>
        <w:ind w:left="240"/>
        <w:outlineLvl w:val="2"/>
        <w:rPr>
          <w:rFonts w:ascii="Tahoma" w:eastAsia="Times New Roman" w:hAnsi="Tahoma" w:cs="Tahoma"/>
          <w:b/>
          <w:bCs/>
          <w:sz w:val="27"/>
          <w:szCs w:val="27"/>
        </w:rPr>
      </w:pPr>
      <w:hyperlink r:id="rId5" w:history="1">
        <w:r w:rsidRPr="00BB786F">
          <w:rPr>
            <w:rFonts w:ascii="Tahoma" w:eastAsia="Times New Roman" w:hAnsi="Tahoma" w:cs="Tahoma"/>
            <w:b/>
            <w:bCs/>
            <w:color w:val="085A92"/>
            <w:sz w:val="27"/>
            <w:szCs w:val="27"/>
          </w:rPr>
          <w:t>Migration and the welfare state</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w:t>
      </w:r>
      <w:r w:rsidRPr="00BB786F">
        <w:rPr>
          <w:rFonts w:ascii="Arial" w:eastAsia="Times New Roman" w:hAnsi="Arial" w:cs="Arial"/>
          <w:sz w:val="20"/>
          <w:szCs w:val="20"/>
        </w:rPr>
        <w:t>, 11 March 2011</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 xml:space="preserve">Assaf Razin of Cornell University and Tel Aviv University talks to </w:t>
      </w:r>
      <w:proofErr w:type="spellStart"/>
      <w:r w:rsidRPr="00BB786F">
        <w:rPr>
          <w:rFonts w:ascii="Arial" w:eastAsia="Times New Roman" w:hAnsi="Arial" w:cs="Arial"/>
          <w:sz w:val="20"/>
          <w:szCs w:val="20"/>
        </w:rPr>
        <w:t>Romesh</w:t>
      </w:r>
      <w:proofErr w:type="spellEnd"/>
      <w:r w:rsidRPr="00BB786F">
        <w:rPr>
          <w:rFonts w:ascii="Arial" w:eastAsia="Times New Roman" w:hAnsi="Arial" w:cs="Arial"/>
          <w:sz w:val="20"/>
          <w:szCs w:val="20"/>
        </w:rPr>
        <w:t xml:space="preserve"> </w:t>
      </w:r>
      <w:proofErr w:type="spellStart"/>
      <w:r w:rsidRPr="00BB786F">
        <w:rPr>
          <w:rFonts w:ascii="Arial" w:eastAsia="Times New Roman" w:hAnsi="Arial" w:cs="Arial"/>
          <w:sz w:val="20"/>
          <w:szCs w:val="20"/>
        </w:rPr>
        <w:t>Vaitilingam</w:t>
      </w:r>
      <w:proofErr w:type="spellEnd"/>
      <w:r w:rsidRPr="00BB786F">
        <w:rPr>
          <w:rFonts w:ascii="Arial" w:eastAsia="Times New Roman" w:hAnsi="Arial" w:cs="Arial"/>
          <w:sz w:val="20"/>
          <w:szCs w:val="20"/>
        </w:rPr>
        <w:t xml:space="preserve"> about his book, ‘Migration and the Welfare State: Political-Economic Policy Formation’, which explores implications of the observation that open immigration cannot </w:t>
      </w:r>
    </w:p>
    <w:p w:rsidR="00BB786F" w:rsidRPr="00BB786F" w:rsidRDefault="00BB786F" w:rsidP="00BB786F">
      <w:pPr>
        <w:numPr>
          <w:ilvl w:val="0"/>
          <w:numId w:val="2"/>
        </w:numPr>
        <w:spacing w:before="60" w:after="100" w:afterAutospacing="1" w:line="312" w:lineRule="atLeast"/>
        <w:ind w:left="240"/>
        <w:outlineLvl w:val="2"/>
        <w:rPr>
          <w:rFonts w:ascii="Tahoma" w:eastAsia="Times New Roman" w:hAnsi="Tahoma" w:cs="Tahoma"/>
          <w:b/>
          <w:bCs/>
          <w:sz w:val="27"/>
          <w:szCs w:val="27"/>
        </w:rPr>
      </w:pPr>
      <w:hyperlink r:id="rId6" w:history="1">
        <w:r w:rsidRPr="00BB786F">
          <w:rPr>
            <w:rFonts w:ascii="Tahoma" w:eastAsia="Times New Roman" w:hAnsi="Tahoma" w:cs="Tahoma"/>
            <w:b/>
            <w:bCs/>
            <w:color w:val="085A92"/>
            <w:sz w:val="27"/>
            <w:szCs w:val="27"/>
          </w:rPr>
          <w:t>The welfare state and migration: Coalition-formation dynamics</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 xml:space="preserve">Assaf Razin, Efraim Sadka, </w:t>
      </w:r>
      <w:proofErr w:type="spellStart"/>
      <w:r w:rsidRPr="00BB786F">
        <w:rPr>
          <w:rFonts w:ascii="Arial" w:eastAsia="Times New Roman" w:hAnsi="Arial" w:cs="Arial"/>
          <w:b/>
          <w:bCs/>
          <w:sz w:val="20"/>
          <w:szCs w:val="20"/>
        </w:rPr>
        <w:t>Benjarong</w:t>
      </w:r>
      <w:proofErr w:type="spellEnd"/>
      <w:r w:rsidRPr="00BB786F">
        <w:rPr>
          <w:rFonts w:ascii="Arial" w:eastAsia="Times New Roman" w:hAnsi="Arial" w:cs="Arial"/>
          <w:b/>
          <w:bCs/>
          <w:sz w:val="20"/>
          <w:szCs w:val="20"/>
        </w:rPr>
        <w:t xml:space="preserve"> </w:t>
      </w:r>
      <w:proofErr w:type="spellStart"/>
      <w:r w:rsidRPr="00BB786F">
        <w:rPr>
          <w:rFonts w:ascii="Arial" w:eastAsia="Times New Roman" w:hAnsi="Arial" w:cs="Arial"/>
          <w:b/>
          <w:bCs/>
          <w:sz w:val="20"/>
          <w:szCs w:val="20"/>
        </w:rPr>
        <w:t>Suwankiri</w:t>
      </w:r>
      <w:proofErr w:type="spellEnd"/>
      <w:r w:rsidRPr="00BB786F">
        <w:rPr>
          <w:rFonts w:ascii="Arial" w:eastAsia="Times New Roman" w:hAnsi="Arial" w:cs="Arial"/>
          <w:sz w:val="20"/>
          <w:szCs w:val="20"/>
        </w:rPr>
        <w:t>, 17 January 2015</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 xml:space="preserve">Allowing greater immigration may raise tax revenue and help pay for the welfare state, but it also affects the future composition of the voting </w:t>
      </w:r>
      <w:proofErr w:type="gramStart"/>
      <w:r w:rsidRPr="00BB786F">
        <w:rPr>
          <w:rFonts w:ascii="Arial" w:eastAsia="Times New Roman" w:hAnsi="Arial" w:cs="Arial"/>
          <w:sz w:val="20"/>
          <w:szCs w:val="20"/>
        </w:rPr>
        <w:t>population.</w:t>
      </w:r>
      <w:proofErr w:type="gramEnd"/>
    </w:p>
    <w:p w:rsidR="00BB786F" w:rsidRPr="00BB786F" w:rsidRDefault="00BB786F" w:rsidP="00BB786F">
      <w:pPr>
        <w:numPr>
          <w:ilvl w:val="0"/>
          <w:numId w:val="3"/>
        </w:numPr>
        <w:spacing w:before="60" w:after="100" w:afterAutospacing="1" w:line="312" w:lineRule="atLeast"/>
        <w:ind w:left="240"/>
        <w:outlineLvl w:val="2"/>
        <w:rPr>
          <w:rFonts w:ascii="Tahoma" w:eastAsia="Times New Roman" w:hAnsi="Tahoma" w:cs="Tahoma"/>
          <w:b/>
          <w:bCs/>
          <w:sz w:val="27"/>
          <w:szCs w:val="27"/>
        </w:rPr>
      </w:pPr>
      <w:hyperlink r:id="rId7" w:history="1">
        <w:r w:rsidRPr="00BB786F">
          <w:rPr>
            <w:rFonts w:ascii="Tahoma" w:eastAsia="Times New Roman" w:hAnsi="Tahoma" w:cs="Tahoma"/>
            <w:b/>
            <w:bCs/>
            <w:color w:val="085A92"/>
            <w:sz w:val="27"/>
            <w:szCs w:val="27"/>
          </w:rPr>
          <w:t>Tax competition vs. tax coordination: Revisiting the debate</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 Efraim Sadka</w:t>
      </w:r>
      <w:r w:rsidRPr="00BB786F">
        <w:rPr>
          <w:rFonts w:ascii="Arial" w:eastAsia="Times New Roman" w:hAnsi="Arial" w:cs="Arial"/>
          <w:sz w:val="20"/>
          <w:szCs w:val="20"/>
        </w:rPr>
        <w:t>, 21 January 2011</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Does the free movement of factors of production lure tax authorities into a race to the bottom?</w:t>
      </w:r>
    </w:p>
    <w:p w:rsidR="00BB786F" w:rsidRPr="00BB786F" w:rsidRDefault="00BB786F" w:rsidP="00BB786F">
      <w:pPr>
        <w:numPr>
          <w:ilvl w:val="0"/>
          <w:numId w:val="3"/>
        </w:numPr>
        <w:spacing w:before="60" w:after="100" w:afterAutospacing="1" w:line="312" w:lineRule="atLeast"/>
        <w:ind w:left="240"/>
        <w:outlineLvl w:val="2"/>
        <w:rPr>
          <w:rFonts w:ascii="Tahoma" w:eastAsia="Times New Roman" w:hAnsi="Tahoma" w:cs="Tahoma"/>
          <w:b/>
          <w:bCs/>
          <w:sz w:val="27"/>
          <w:szCs w:val="27"/>
        </w:rPr>
      </w:pPr>
      <w:hyperlink r:id="rId8" w:history="1">
        <w:r w:rsidRPr="00BB786F">
          <w:rPr>
            <w:rFonts w:ascii="Tahoma" w:eastAsia="Times New Roman" w:hAnsi="Tahoma" w:cs="Tahoma"/>
            <w:b/>
            <w:bCs/>
            <w:color w:val="085A92"/>
            <w:sz w:val="27"/>
            <w:szCs w:val="27"/>
          </w:rPr>
          <w:t>Immigration and the welfare state: New evidence from the EU</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 xml:space="preserve">Assaf Razin, </w:t>
      </w:r>
      <w:proofErr w:type="spellStart"/>
      <w:r w:rsidRPr="00BB786F">
        <w:rPr>
          <w:rFonts w:ascii="Arial" w:eastAsia="Times New Roman" w:hAnsi="Arial" w:cs="Arial"/>
          <w:b/>
          <w:bCs/>
          <w:sz w:val="20"/>
          <w:szCs w:val="20"/>
        </w:rPr>
        <w:t>Jackline</w:t>
      </w:r>
      <w:proofErr w:type="spellEnd"/>
      <w:r w:rsidRPr="00BB786F">
        <w:rPr>
          <w:rFonts w:ascii="Arial" w:eastAsia="Times New Roman" w:hAnsi="Arial" w:cs="Arial"/>
          <w:b/>
          <w:bCs/>
          <w:sz w:val="20"/>
          <w:szCs w:val="20"/>
        </w:rPr>
        <w:t xml:space="preserve"> </w:t>
      </w:r>
      <w:proofErr w:type="spellStart"/>
      <w:r w:rsidRPr="00BB786F">
        <w:rPr>
          <w:rFonts w:ascii="Arial" w:eastAsia="Times New Roman" w:hAnsi="Arial" w:cs="Arial"/>
          <w:b/>
          <w:bCs/>
          <w:sz w:val="20"/>
          <w:szCs w:val="20"/>
        </w:rPr>
        <w:t>Wahba</w:t>
      </w:r>
      <w:proofErr w:type="spellEnd"/>
      <w:r w:rsidRPr="00BB786F">
        <w:rPr>
          <w:rFonts w:ascii="Arial" w:eastAsia="Times New Roman" w:hAnsi="Arial" w:cs="Arial"/>
          <w:sz w:val="20"/>
          <w:szCs w:val="20"/>
        </w:rPr>
        <w:t>, 4 March 2011</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Do immigrants just move for the benefit systems?</w:t>
      </w:r>
    </w:p>
    <w:p w:rsidR="00BB786F" w:rsidRPr="00BB786F" w:rsidRDefault="00BB786F" w:rsidP="00BB786F">
      <w:pPr>
        <w:numPr>
          <w:ilvl w:val="0"/>
          <w:numId w:val="4"/>
        </w:numPr>
        <w:spacing w:before="60" w:after="100" w:afterAutospacing="1" w:line="312" w:lineRule="atLeast"/>
        <w:ind w:left="240"/>
        <w:outlineLvl w:val="2"/>
        <w:rPr>
          <w:rFonts w:ascii="Tahoma" w:eastAsia="Times New Roman" w:hAnsi="Tahoma" w:cs="Tahoma"/>
          <w:b/>
          <w:bCs/>
          <w:sz w:val="27"/>
          <w:szCs w:val="27"/>
        </w:rPr>
      </w:pPr>
      <w:hyperlink r:id="rId9" w:history="1">
        <w:r w:rsidRPr="00BB786F">
          <w:rPr>
            <w:rFonts w:ascii="Tahoma" w:eastAsia="Times New Roman" w:hAnsi="Tahoma" w:cs="Tahoma"/>
            <w:b/>
            <w:bCs/>
            <w:color w:val="085A92"/>
            <w:sz w:val="27"/>
            <w:szCs w:val="27"/>
          </w:rPr>
          <w:t>Migration and welfare in the US and Europe</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 Efraim Sadka</w:t>
      </w:r>
      <w:r w:rsidRPr="00BB786F">
        <w:rPr>
          <w:rFonts w:ascii="Arial" w:eastAsia="Times New Roman" w:hAnsi="Arial" w:cs="Arial"/>
          <w:sz w:val="20"/>
          <w:szCs w:val="20"/>
        </w:rPr>
        <w:t>, 1 September 2014</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European migration exhibits a bias towards low-skilled workers, whereas the US attracts the majority of the world’s skilled migrants. At the same time, the welfare system in Europe is more generous than the one in the US.</w:t>
      </w:r>
    </w:p>
    <w:p w:rsidR="00BB786F" w:rsidRPr="00BB786F" w:rsidRDefault="00BB786F" w:rsidP="00BB786F">
      <w:pPr>
        <w:numPr>
          <w:ilvl w:val="0"/>
          <w:numId w:val="4"/>
        </w:numPr>
        <w:spacing w:before="60" w:after="100" w:afterAutospacing="1" w:line="312" w:lineRule="atLeast"/>
        <w:ind w:left="240"/>
        <w:outlineLvl w:val="2"/>
        <w:rPr>
          <w:rFonts w:ascii="Tahoma" w:eastAsia="Times New Roman" w:hAnsi="Tahoma" w:cs="Tahoma"/>
          <w:b/>
          <w:bCs/>
          <w:sz w:val="27"/>
          <w:szCs w:val="27"/>
        </w:rPr>
      </w:pPr>
      <w:hyperlink r:id="rId10" w:history="1">
        <w:r w:rsidRPr="00BB786F">
          <w:rPr>
            <w:rFonts w:ascii="Tahoma" w:eastAsia="Times New Roman" w:hAnsi="Tahoma" w:cs="Tahoma"/>
            <w:b/>
            <w:bCs/>
            <w:color w:val="085A92"/>
            <w:sz w:val="27"/>
            <w:szCs w:val="27"/>
          </w:rPr>
          <w:t>Theories of financial crises</w:t>
        </w:r>
      </w:hyperlink>
    </w:p>
    <w:p w:rsidR="00BB786F" w:rsidRPr="00BB786F" w:rsidRDefault="00BB786F" w:rsidP="00BB786F">
      <w:pPr>
        <w:spacing w:before="90" w:after="90" w:line="336" w:lineRule="atLeast"/>
        <w:ind w:left="240"/>
        <w:rPr>
          <w:rFonts w:ascii="Arial" w:eastAsia="Times New Roman" w:hAnsi="Arial" w:cs="Arial"/>
          <w:sz w:val="20"/>
          <w:szCs w:val="20"/>
        </w:rPr>
      </w:pPr>
      <w:proofErr w:type="spellStart"/>
      <w:r w:rsidRPr="00BB786F">
        <w:rPr>
          <w:rFonts w:ascii="Arial" w:eastAsia="Times New Roman" w:hAnsi="Arial" w:cs="Arial"/>
          <w:b/>
          <w:bCs/>
          <w:sz w:val="20"/>
          <w:szCs w:val="20"/>
        </w:rPr>
        <w:t>Itay</w:t>
      </w:r>
      <w:proofErr w:type="spellEnd"/>
      <w:r w:rsidRPr="00BB786F">
        <w:rPr>
          <w:rFonts w:ascii="Arial" w:eastAsia="Times New Roman" w:hAnsi="Arial" w:cs="Arial"/>
          <w:b/>
          <w:bCs/>
          <w:sz w:val="20"/>
          <w:szCs w:val="20"/>
        </w:rPr>
        <w:t xml:space="preserve"> Goldstein, Assaf Razin</w:t>
      </w:r>
      <w:r w:rsidRPr="00BB786F">
        <w:rPr>
          <w:rFonts w:ascii="Arial" w:eastAsia="Times New Roman" w:hAnsi="Arial" w:cs="Arial"/>
          <w:sz w:val="20"/>
          <w:szCs w:val="20"/>
        </w:rPr>
        <w:t>, 11 March 2013</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lastRenderedPageBreak/>
        <w:t>Broadly speaking, there are three types of economic crisis: banking crises and panics, credit frictions and market freezes, and currency crises.</w:t>
      </w:r>
    </w:p>
    <w:p w:rsidR="00BB786F" w:rsidRPr="00BB786F" w:rsidRDefault="00BB786F" w:rsidP="00BB786F">
      <w:pPr>
        <w:numPr>
          <w:ilvl w:val="0"/>
          <w:numId w:val="4"/>
        </w:numPr>
        <w:spacing w:before="60" w:after="100" w:afterAutospacing="1" w:line="312" w:lineRule="atLeast"/>
        <w:ind w:left="240"/>
        <w:outlineLvl w:val="2"/>
        <w:rPr>
          <w:rFonts w:ascii="Tahoma" w:eastAsia="Times New Roman" w:hAnsi="Tahoma" w:cs="Tahoma"/>
          <w:b/>
          <w:bCs/>
          <w:sz w:val="27"/>
          <w:szCs w:val="27"/>
        </w:rPr>
      </w:pPr>
      <w:hyperlink r:id="rId11" w:history="1">
        <w:r w:rsidRPr="00BB786F">
          <w:rPr>
            <w:rFonts w:ascii="Tahoma" w:eastAsia="Times New Roman" w:hAnsi="Tahoma" w:cs="Tahoma"/>
            <w:b/>
            <w:bCs/>
            <w:color w:val="085A92"/>
            <w:sz w:val="27"/>
            <w:szCs w:val="27"/>
          </w:rPr>
          <w:t>Creditor protection and financial crises</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 Galina Hale</w:t>
      </w:r>
      <w:r w:rsidRPr="00BB786F">
        <w:rPr>
          <w:rFonts w:ascii="Arial" w:eastAsia="Times New Roman" w:hAnsi="Arial" w:cs="Arial"/>
          <w:sz w:val="20"/>
          <w:szCs w:val="20"/>
        </w:rPr>
        <w:t>, 8 August 2009</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 xml:space="preserve">Finding reliable indicators that predict the likelihood and severity of crises across countries has been a frustrating quest for economists. This column suggests that countries with better creditor protection suffer less when a crisis hits. </w:t>
      </w:r>
    </w:p>
    <w:p w:rsidR="00BB786F" w:rsidRPr="00BB786F" w:rsidRDefault="00BB786F" w:rsidP="00BB786F">
      <w:pPr>
        <w:numPr>
          <w:ilvl w:val="0"/>
          <w:numId w:val="4"/>
        </w:numPr>
        <w:spacing w:before="60" w:after="100" w:afterAutospacing="1" w:line="312" w:lineRule="atLeast"/>
        <w:ind w:left="240"/>
        <w:outlineLvl w:val="2"/>
        <w:rPr>
          <w:rFonts w:ascii="Tahoma" w:eastAsia="Times New Roman" w:hAnsi="Tahoma" w:cs="Tahoma"/>
          <w:b/>
          <w:bCs/>
          <w:sz w:val="27"/>
          <w:szCs w:val="27"/>
        </w:rPr>
      </w:pPr>
      <w:hyperlink r:id="rId12" w:history="1">
        <w:r w:rsidRPr="00BB786F">
          <w:rPr>
            <w:rFonts w:ascii="Tahoma" w:eastAsia="Times New Roman" w:hAnsi="Tahoma" w:cs="Tahoma"/>
            <w:b/>
            <w:bCs/>
            <w:color w:val="085A92"/>
            <w:sz w:val="27"/>
            <w:szCs w:val="27"/>
          </w:rPr>
          <w:t>The ageing, crisis-prone welfare state is bad news for welfare migration</w:t>
        </w:r>
      </w:hyperlink>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b/>
          <w:bCs/>
          <w:sz w:val="20"/>
          <w:szCs w:val="20"/>
        </w:rPr>
        <w:t>Assaf Razin</w:t>
      </w:r>
      <w:r w:rsidRPr="00BB786F">
        <w:rPr>
          <w:rFonts w:ascii="Arial" w:eastAsia="Times New Roman" w:hAnsi="Arial" w:cs="Arial"/>
          <w:sz w:val="20"/>
          <w:szCs w:val="20"/>
        </w:rPr>
        <w:t>, 6 November 2010</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 xml:space="preserve">The growing voice of skilled workers and the retired in </w:t>
      </w:r>
      <w:proofErr w:type="spellStart"/>
      <w:r w:rsidRPr="00BB786F">
        <w:rPr>
          <w:rFonts w:ascii="Arial" w:eastAsia="Times New Roman" w:hAnsi="Arial" w:cs="Arial"/>
          <w:sz w:val="20"/>
          <w:szCs w:val="20"/>
        </w:rPr>
        <w:t>industrialised</w:t>
      </w:r>
      <w:proofErr w:type="spellEnd"/>
      <w:r w:rsidRPr="00BB786F">
        <w:rPr>
          <w:rFonts w:ascii="Arial" w:eastAsia="Times New Roman" w:hAnsi="Arial" w:cs="Arial"/>
          <w:sz w:val="20"/>
          <w:szCs w:val="20"/>
        </w:rPr>
        <w:t xml:space="preserve"> countries is calling out for politicians </w:t>
      </w:r>
      <w:proofErr w:type="gramStart"/>
      <w:r w:rsidRPr="00BB786F">
        <w:rPr>
          <w:rFonts w:ascii="Arial" w:eastAsia="Times New Roman" w:hAnsi="Arial" w:cs="Arial"/>
          <w:sz w:val="20"/>
          <w:szCs w:val="20"/>
        </w:rPr>
        <w:t>to further restrict</w:t>
      </w:r>
      <w:proofErr w:type="gramEnd"/>
      <w:r w:rsidRPr="00BB786F">
        <w:rPr>
          <w:rFonts w:ascii="Arial" w:eastAsia="Times New Roman" w:hAnsi="Arial" w:cs="Arial"/>
          <w:sz w:val="20"/>
          <w:szCs w:val="20"/>
        </w:rPr>
        <w:t xml:space="preserve"> immigration in order to allay fears of stealing jobs and scrounging off benefits.</w:t>
      </w:r>
    </w:p>
    <w:p w:rsidR="00BB786F" w:rsidRPr="00BB786F" w:rsidRDefault="00BB786F" w:rsidP="00BB786F">
      <w:pPr>
        <w:numPr>
          <w:ilvl w:val="0"/>
          <w:numId w:val="4"/>
        </w:numPr>
        <w:spacing w:before="60" w:after="100" w:afterAutospacing="1" w:line="312" w:lineRule="atLeast"/>
        <w:ind w:left="240"/>
        <w:outlineLvl w:val="2"/>
        <w:rPr>
          <w:rFonts w:ascii="Tahoma" w:eastAsia="Times New Roman" w:hAnsi="Tahoma" w:cs="Tahoma"/>
          <w:b/>
          <w:bCs/>
          <w:sz w:val="27"/>
          <w:szCs w:val="27"/>
        </w:rPr>
      </w:pPr>
      <w:hyperlink r:id="rId13" w:history="1">
        <w:r w:rsidRPr="00BB786F">
          <w:rPr>
            <w:rFonts w:ascii="Tahoma" w:eastAsia="Times New Roman" w:hAnsi="Tahoma" w:cs="Tahoma"/>
            <w:b/>
            <w:bCs/>
            <w:color w:val="085A92"/>
            <w:sz w:val="27"/>
            <w:szCs w:val="27"/>
          </w:rPr>
          <w:t>Welfare state generosity and immigrants’ skills</w:t>
        </w:r>
      </w:hyperlink>
    </w:p>
    <w:p w:rsidR="00BB786F" w:rsidRPr="00BB786F" w:rsidRDefault="00BB786F" w:rsidP="00BB786F">
      <w:pPr>
        <w:spacing w:before="90" w:after="90" w:line="336" w:lineRule="atLeast"/>
        <w:ind w:left="240"/>
        <w:rPr>
          <w:rFonts w:ascii="Arial" w:eastAsia="Times New Roman" w:hAnsi="Arial" w:cs="Arial"/>
          <w:sz w:val="20"/>
          <w:szCs w:val="20"/>
        </w:rPr>
      </w:pPr>
      <w:proofErr w:type="spellStart"/>
      <w:r w:rsidRPr="00BB786F">
        <w:rPr>
          <w:rFonts w:ascii="Arial" w:eastAsia="Times New Roman" w:hAnsi="Arial" w:cs="Arial"/>
          <w:b/>
          <w:bCs/>
          <w:sz w:val="20"/>
          <w:szCs w:val="20"/>
        </w:rPr>
        <w:t>Alon</w:t>
      </w:r>
      <w:proofErr w:type="spellEnd"/>
      <w:r w:rsidRPr="00BB786F">
        <w:rPr>
          <w:rFonts w:ascii="Arial" w:eastAsia="Times New Roman" w:hAnsi="Arial" w:cs="Arial"/>
          <w:b/>
          <w:bCs/>
          <w:sz w:val="20"/>
          <w:szCs w:val="20"/>
        </w:rPr>
        <w:t xml:space="preserve"> Cohen, Assaf Razin</w:t>
      </w:r>
      <w:r w:rsidRPr="00BB786F">
        <w:rPr>
          <w:rFonts w:ascii="Arial" w:eastAsia="Times New Roman" w:hAnsi="Arial" w:cs="Arial"/>
          <w:sz w:val="20"/>
          <w:szCs w:val="20"/>
        </w:rPr>
        <w:t>, 2 December 2008</w:t>
      </w:r>
    </w:p>
    <w:p w:rsidR="00BB786F" w:rsidRPr="00BB786F" w:rsidRDefault="00BB786F" w:rsidP="00BB786F">
      <w:pPr>
        <w:spacing w:before="90" w:after="90" w:line="336" w:lineRule="atLeast"/>
        <w:ind w:left="240"/>
        <w:rPr>
          <w:rFonts w:ascii="Arial" w:eastAsia="Times New Roman" w:hAnsi="Arial" w:cs="Arial"/>
          <w:sz w:val="20"/>
          <w:szCs w:val="20"/>
        </w:rPr>
      </w:pPr>
      <w:r w:rsidRPr="00BB786F">
        <w:rPr>
          <w:rFonts w:ascii="Arial" w:eastAsia="Times New Roman" w:hAnsi="Arial" w:cs="Arial"/>
          <w:sz w:val="20"/>
          <w:szCs w:val="20"/>
        </w:rPr>
        <w:t>Do generous welfare states attract less-skilled immigrants?</w:t>
      </w:r>
    </w:p>
    <w:p w:rsidR="009E7A4D" w:rsidRDefault="009E7A4D"/>
    <w:p w:rsidR="00BB786F" w:rsidRDefault="00BB786F"/>
    <w:sectPr w:rsidR="00BB7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019"/>
    <w:multiLevelType w:val="multilevel"/>
    <w:tmpl w:val="80A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915D7"/>
    <w:multiLevelType w:val="multilevel"/>
    <w:tmpl w:val="FFB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A20CB"/>
    <w:multiLevelType w:val="multilevel"/>
    <w:tmpl w:val="69F2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F7979"/>
    <w:multiLevelType w:val="multilevel"/>
    <w:tmpl w:val="B2E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6F"/>
    <w:rsid w:val="009E7A4D"/>
    <w:rsid w:val="00BB7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92FFA-7CE9-4A2A-ABD0-DF2FD515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te-title-second1">
    <w:name w:val="site-title-second1"/>
    <w:basedOn w:val="DefaultParagraphFont"/>
    <w:rsid w:val="00BB78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8316">
      <w:bodyDiv w:val="1"/>
      <w:marLeft w:val="0"/>
      <w:marRight w:val="0"/>
      <w:marTop w:val="0"/>
      <w:marBottom w:val="0"/>
      <w:divBdr>
        <w:top w:val="none" w:sz="0" w:space="0" w:color="auto"/>
        <w:left w:val="none" w:sz="0" w:space="0" w:color="auto"/>
        <w:bottom w:val="none" w:sz="0" w:space="0" w:color="auto"/>
        <w:right w:val="none" w:sz="0" w:space="0" w:color="auto"/>
      </w:divBdr>
      <w:divsChild>
        <w:div w:id="355815604">
          <w:marLeft w:val="0"/>
          <w:marRight w:val="0"/>
          <w:marTop w:val="0"/>
          <w:marBottom w:val="0"/>
          <w:divBdr>
            <w:top w:val="none" w:sz="0" w:space="0" w:color="auto"/>
            <w:left w:val="none" w:sz="0" w:space="0" w:color="auto"/>
            <w:bottom w:val="none" w:sz="0" w:space="0" w:color="auto"/>
            <w:right w:val="none" w:sz="0" w:space="0" w:color="auto"/>
          </w:divBdr>
          <w:divsChild>
            <w:div w:id="941690238">
              <w:marLeft w:val="90"/>
              <w:marRight w:val="90"/>
              <w:marTop w:val="0"/>
              <w:marBottom w:val="0"/>
              <w:divBdr>
                <w:top w:val="none" w:sz="0" w:space="0" w:color="auto"/>
                <w:left w:val="none" w:sz="0" w:space="0" w:color="auto"/>
                <w:bottom w:val="none" w:sz="0" w:space="0" w:color="auto"/>
                <w:right w:val="none" w:sz="0" w:space="0" w:color="auto"/>
              </w:divBdr>
              <w:divsChild>
                <w:div w:id="72241459">
                  <w:marLeft w:val="0"/>
                  <w:marRight w:val="0"/>
                  <w:marTop w:val="0"/>
                  <w:marBottom w:val="0"/>
                  <w:divBdr>
                    <w:top w:val="none" w:sz="0" w:space="0" w:color="auto"/>
                    <w:left w:val="none" w:sz="0" w:space="0" w:color="auto"/>
                    <w:bottom w:val="none" w:sz="0" w:space="0" w:color="auto"/>
                    <w:right w:val="none" w:sz="0" w:space="0" w:color="auto"/>
                  </w:divBdr>
                  <w:divsChild>
                    <w:div w:id="1473670565">
                      <w:marLeft w:val="0"/>
                      <w:marRight w:val="0"/>
                      <w:marTop w:val="0"/>
                      <w:marBottom w:val="0"/>
                      <w:divBdr>
                        <w:top w:val="none" w:sz="0" w:space="0" w:color="auto"/>
                        <w:left w:val="none" w:sz="0" w:space="0" w:color="auto"/>
                        <w:bottom w:val="none" w:sz="0" w:space="0" w:color="auto"/>
                        <w:right w:val="none" w:sz="0" w:space="0" w:color="auto"/>
                      </w:divBdr>
                      <w:divsChild>
                        <w:div w:id="16456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832635">
      <w:bodyDiv w:val="1"/>
      <w:marLeft w:val="0"/>
      <w:marRight w:val="0"/>
      <w:marTop w:val="0"/>
      <w:marBottom w:val="0"/>
      <w:divBdr>
        <w:top w:val="none" w:sz="0" w:space="0" w:color="auto"/>
        <w:left w:val="none" w:sz="0" w:space="0" w:color="auto"/>
        <w:bottom w:val="none" w:sz="0" w:space="0" w:color="auto"/>
        <w:right w:val="none" w:sz="0" w:space="0" w:color="auto"/>
      </w:divBdr>
      <w:divsChild>
        <w:div w:id="963192306">
          <w:marLeft w:val="0"/>
          <w:marRight w:val="0"/>
          <w:marTop w:val="0"/>
          <w:marBottom w:val="0"/>
          <w:divBdr>
            <w:top w:val="none" w:sz="0" w:space="0" w:color="auto"/>
            <w:left w:val="none" w:sz="0" w:space="0" w:color="auto"/>
            <w:bottom w:val="none" w:sz="0" w:space="0" w:color="auto"/>
            <w:right w:val="none" w:sz="0" w:space="0" w:color="auto"/>
          </w:divBdr>
          <w:divsChild>
            <w:div w:id="1999504045">
              <w:marLeft w:val="90"/>
              <w:marRight w:val="90"/>
              <w:marTop w:val="0"/>
              <w:marBottom w:val="0"/>
              <w:divBdr>
                <w:top w:val="none" w:sz="0" w:space="0" w:color="auto"/>
                <w:left w:val="none" w:sz="0" w:space="0" w:color="auto"/>
                <w:bottom w:val="none" w:sz="0" w:space="0" w:color="auto"/>
                <w:right w:val="none" w:sz="0" w:space="0" w:color="auto"/>
              </w:divBdr>
              <w:divsChild>
                <w:div w:id="95948917">
                  <w:marLeft w:val="0"/>
                  <w:marRight w:val="0"/>
                  <w:marTop w:val="0"/>
                  <w:marBottom w:val="0"/>
                  <w:divBdr>
                    <w:top w:val="none" w:sz="0" w:space="0" w:color="auto"/>
                    <w:left w:val="none" w:sz="0" w:space="0" w:color="auto"/>
                    <w:bottom w:val="none" w:sz="0" w:space="0" w:color="auto"/>
                    <w:right w:val="none" w:sz="0" w:space="0" w:color="auto"/>
                  </w:divBdr>
                  <w:divsChild>
                    <w:div w:id="1068772982">
                      <w:marLeft w:val="0"/>
                      <w:marRight w:val="0"/>
                      <w:marTop w:val="0"/>
                      <w:marBottom w:val="0"/>
                      <w:divBdr>
                        <w:top w:val="none" w:sz="0" w:space="0" w:color="auto"/>
                        <w:left w:val="none" w:sz="0" w:space="0" w:color="auto"/>
                        <w:bottom w:val="none" w:sz="0" w:space="0" w:color="auto"/>
                        <w:right w:val="none" w:sz="0" w:space="0" w:color="auto"/>
                      </w:divBdr>
                      <w:divsChild>
                        <w:div w:id="7276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12584">
      <w:bodyDiv w:val="1"/>
      <w:marLeft w:val="0"/>
      <w:marRight w:val="0"/>
      <w:marTop w:val="0"/>
      <w:marBottom w:val="0"/>
      <w:divBdr>
        <w:top w:val="none" w:sz="0" w:space="0" w:color="auto"/>
        <w:left w:val="none" w:sz="0" w:space="0" w:color="auto"/>
        <w:bottom w:val="none" w:sz="0" w:space="0" w:color="auto"/>
        <w:right w:val="none" w:sz="0" w:space="0" w:color="auto"/>
      </w:divBdr>
      <w:divsChild>
        <w:div w:id="477722448">
          <w:marLeft w:val="0"/>
          <w:marRight w:val="0"/>
          <w:marTop w:val="0"/>
          <w:marBottom w:val="0"/>
          <w:divBdr>
            <w:top w:val="none" w:sz="0" w:space="0" w:color="auto"/>
            <w:left w:val="none" w:sz="0" w:space="0" w:color="auto"/>
            <w:bottom w:val="none" w:sz="0" w:space="0" w:color="auto"/>
            <w:right w:val="none" w:sz="0" w:space="0" w:color="auto"/>
          </w:divBdr>
          <w:divsChild>
            <w:div w:id="1895651758">
              <w:marLeft w:val="90"/>
              <w:marRight w:val="90"/>
              <w:marTop w:val="0"/>
              <w:marBottom w:val="0"/>
              <w:divBdr>
                <w:top w:val="none" w:sz="0" w:space="0" w:color="auto"/>
                <w:left w:val="none" w:sz="0" w:space="0" w:color="auto"/>
                <w:bottom w:val="none" w:sz="0" w:space="0" w:color="auto"/>
                <w:right w:val="none" w:sz="0" w:space="0" w:color="auto"/>
              </w:divBdr>
              <w:divsChild>
                <w:div w:id="1690984951">
                  <w:marLeft w:val="0"/>
                  <w:marRight w:val="0"/>
                  <w:marTop w:val="0"/>
                  <w:marBottom w:val="0"/>
                  <w:divBdr>
                    <w:top w:val="none" w:sz="0" w:space="0" w:color="auto"/>
                    <w:left w:val="none" w:sz="0" w:space="0" w:color="auto"/>
                    <w:bottom w:val="none" w:sz="0" w:space="0" w:color="auto"/>
                    <w:right w:val="none" w:sz="0" w:space="0" w:color="auto"/>
                  </w:divBdr>
                  <w:divsChild>
                    <w:div w:id="289631395">
                      <w:marLeft w:val="0"/>
                      <w:marRight w:val="0"/>
                      <w:marTop w:val="0"/>
                      <w:marBottom w:val="0"/>
                      <w:divBdr>
                        <w:top w:val="none" w:sz="0" w:space="0" w:color="auto"/>
                        <w:left w:val="none" w:sz="0" w:space="0" w:color="auto"/>
                        <w:bottom w:val="none" w:sz="0" w:space="0" w:color="auto"/>
                        <w:right w:val="none" w:sz="0" w:space="0" w:color="auto"/>
                      </w:divBdr>
                      <w:divsChild>
                        <w:div w:id="10071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10878">
      <w:bodyDiv w:val="1"/>
      <w:marLeft w:val="0"/>
      <w:marRight w:val="0"/>
      <w:marTop w:val="0"/>
      <w:marBottom w:val="0"/>
      <w:divBdr>
        <w:top w:val="none" w:sz="0" w:space="0" w:color="auto"/>
        <w:left w:val="none" w:sz="0" w:space="0" w:color="auto"/>
        <w:bottom w:val="none" w:sz="0" w:space="0" w:color="auto"/>
        <w:right w:val="none" w:sz="0" w:space="0" w:color="auto"/>
      </w:divBdr>
      <w:divsChild>
        <w:div w:id="1024283186">
          <w:marLeft w:val="0"/>
          <w:marRight w:val="0"/>
          <w:marTop w:val="0"/>
          <w:marBottom w:val="0"/>
          <w:divBdr>
            <w:top w:val="none" w:sz="0" w:space="0" w:color="auto"/>
            <w:left w:val="none" w:sz="0" w:space="0" w:color="auto"/>
            <w:bottom w:val="none" w:sz="0" w:space="0" w:color="auto"/>
            <w:right w:val="none" w:sz="0" w:space="0" w:color="auto"/>
          </w:divBdr>
          <w:divsChild>
            <w:div w:id="1662851295">
              <w:marLeft w:val="90"/>
              <w:marRight w:val="90"/>
              <w:marTop w:val="0"/>
              <w:marBottom w:val="0"/>
              <w:divBdr>
                <w:top w:val="none" w:sz="0" w:space="0" w:color="auto"/>
                <w:left w:val="none" w:sz="0" w:space="0" w:color="auto"/>
                <w:bottom w:val="none" w:sz="0" w:space="0" w:color="auto"/>
                <w:right w:val="none" w:sz="0" w:space="0" w:color="auto"/>
              </w:divBdr>
              <w:divsChild>
                <w:div w:id="1022053901">
                  <w:marLeft w:val="0"/>
                  <w:marRight w:val="0"/>
                  <w:marTop w:val="0"/>
                  <w:marBottom w:val="0"/>
                  <w:divBdr>
                    <w:top w:val="none" w:sz="0" w:space="0" w:color="auto"/>
                    <w:left w:val="none" w:sz="0" w:space="0" w:color="auto"/>
                    <w:bottom w:val="none" w:sz="0" w:space="0" w:color="auto"/>
                    <w:right w:val="none" w:sz="0" w:space="0" w:color="auto"/>
                  </w:divBdr>
                  <w:divsChild>
                    <w:div w:id="1326976906">
                      <w:marLeft w:val="0"/>
                      <w:marRight w:val="0"/>
                      <w:marTop w:val="0"/>
                      <w:marBottom w:val="0"/>
                      <w:divBdr>
                        <w:top w:val="none" w:sz="0" w:space="0" w:color="auto"/>
                        <w:left w:val="none" w:sz="0" w:space="0" w:color="auto"/>
                        <w:bottom w:val="none" w:sz="0" w:space="0" w:color="auto"/>
                        <w:right w:val="none" w:sz="0" w:space="0" w:color="auto"/>
                      </w:divBdr>
                      <w:divsChild>
                        <w:div w:id="11049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xeu.org/article/immigration-and-welfare-state-new-evidence-eu" TargetMode="External"/><Relationship Id="rId13" Type="http://schemas.openxmlformats.org/officeDocument/2006/relationships/hyperlink" Target="http://voxeu.org/article/welfare-state-generosity-and-immigrants-skills" TargetMode="External"/><Relationship Id="rId3" Type="http://schemas.openxmlformats.org/officeDocument/2006/relationships/settings" Target="settings.xml"/><Relationship Id="rId7" Type="http://schemas.openxmlformats.org/officeDocument/2006/relationships/hyperlink" Target="http://voxeu.org/article/tax-competition-vs-tax-coordination-revisiting-debate" TargetMode="External"/><Relationship Id="rId12" Type="http://schemas.openxmlformats.org/officeDocument/2006/relationships/hyperlink" Target="http://voxeu.org/article/ageing-crisis-prone-welfare-state-bad-news-welfare-mi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xeu.org/article/welfare-state-and-migration-coalition-formation-dynamics" TargetMode="External"/><Relationship Id="rId11" Type="http://schemas.openxmlformats.org/officeDocument/2006/relationships/hyperlink" Target="http://voxeu.org/article/creditor-protection-and-financial-crises" TargetMode="External"/><Relationship Id="rId5" Type="http://schemas.openxmlformats.org/officeDocument/2006/relationships/hyperlink" Target="http://voxeu.org/vox-talks/migration-and-welfare-state" TargetMode="External"/><Relationship Id="rId15" Type="http://schemas.openxmlformats.org/officeDocument/2006/relationships/theme" Target="theme/theme1.xml"/><Relationship Id="rId10" Type="http://schemas.openxmlformats.org/officeDocument/2006/relationships/hyperlink" Target="http://voxeu.org/article/theories-financial-crises" TargetMode="External"/><Relationship Id="rId4" Type="http://schemas.openxmlformats.org/officeDocument/2006/relationships/webSettings" Target="webSettings.xml"/><Relationship Id="rId9" Type="http://schemas.openxmlformats.org/officeDocument/2006/relationships/hyperlink" Target="http://voxeu.org/article/migration-and-welfare-us-and-euro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assafr</dc:creator>
  <cp:keywords/>
  <dc:description/>
  <cp:lastModifiedBy>assafr</cp:lastModifiedBy>
  <cp:revision>1</cp:revision>
  <dcterms:created xsi:type="dcterms:W3CDTF">2017-04-03T08:54:00Z</dcterms:created>
  <dcterms:modified xsi:type="dcterms:W3CDTF">2017-04-03T08:59:00Z</dcterms:modified>
</cp:coreProperties>
</file>